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W w:w="151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737"/>
        <w:gridCol w:w="3617"/>
        <w:gridCol w:w="3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13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</w:t>
            </w:r>
            <w:r>
              <w:rPr>
                <w:rStyle w:val="5"/>
                <w:u w:val="none"/>
                <w:lang w:val="en-US" w:eastAsia="zh-CN" w:bidi="ar"/>
              </w:rPr>
              <w:t xml:space="preserve"> 学院（部门）2022年度校企合作开展情况表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6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合作形式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合作内容及进展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涉及专业名称及参与师生数量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8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一、现代学徒制培养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二、共建产业学院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8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三、产教融合实训基地建设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（校内实训基地、校外实训基地）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0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四、共建专业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（共同设置专业、共同研发专业教学标准、共同制定并实施专业人才培养方案、共同推进 1+X 证书制度试点、共同开发课程体系、其他资源共建）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6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五、学生实习实训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此项可只填合作单位数量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6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六、招生就业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此项可只填合作单位数量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16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七、共建双师队伍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（共建企业精英工作室、技师企业课堂、技能大师工作室、师资海外培训基地）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72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八、社会培训及科研技术服务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共建高技能人才培养培训基地，合作研发岗位规范、质量标准，共同开展合作企业职工培训及继续教育工作、合作开展社区教育和技能等级评价；共建企业工作室、协同创新中心、研究智库等产学研平台，共同开展项目研发和技术服务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80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九、其他校企合作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（共同举办技能竞赛、共育产教融合型企业、共同开展文化传承等，其他未注明可自行另加）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Tk2ODAwN2QxZmE2M2M5ZGMyYmZmMjY3YjVkNDYifQ=="/>
  </w:docVars>
  <w:rsids>
    <w:rsidRoot w:val="762B3699"/>
    <w:rsid w:val="762B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2022-11-02T07:12:00Z</dcterms:created>
  <dc:creator>斟酌</dc:creator>
  <cp:lastModifiedBy>斟酌</cp:lastModifiedBy>
  <dcterms:modified xsi:type="dcterms:W3CDTF">2022-11-02T07:13:03Z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8B35F499A11B4049BE98908EBB420556</vt:lpwstr>
  </property>
</Properties>
</file>