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both"/>
        <w:textAlignment w:val="auto"/>
        <w:rPr>
          <w:rFonts w:hint="eastAsia" w:ascii="方正小标宋简体" w:hAnsi="方正小标宋简体" w:eastAsia="方正小标宋简体" w:cs="方正小标宋简体"/>
          <w:b/>
          <w:sz w:val="21"/>
          <w:szCs w:val="21"/>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仿宋" w:hAnsi="仿宋" w:eastAsia="仿宋" w:cs="方正小标宋简体"/>
          <w:bCs/>
          <w:sz w:val="32"/>
          <w:szCs w:val="32"/>
        </w:rPr>
      </w:pPr>
      <w:r>
        <w:rPr>
          <w:rFonts w:hint="eastAsia" w:ascii="仿宋" w:hAnsi="仿宋" w:eastAsia="仿宋" w:cs="方正小标宋简体"/>
          <w:bCs/>
          <w:sz w:val="32"/>
          <w:szCs w:val="32"/>
        </w:rPr>
        <w:t>琼社科〔20</w:t>
      </w:r>
      <w:r>
        <w:rPr>
          <w:rFonts w:hint="eastAsia" w:ascii="仿宋" w:hAnsi="仿宋" w:eastAsia="仿宋" w:cs="方正小标宋简体"/>
          <w:bCs/>
          <w:sz w:val="32"/>
          <w:szCs w:val="32"/>
          <w:lang w:val="en-US" w:eastAsia="zh-CN"/>
        </w:rPr>
        <w:t>20</w:t>
      </w:r>
      <w:r>
        <w:rPr>
          <w:rFonts w:hint="eastAsia" w:ascii="仿宋" w:hAnsi="仿宋" w:eastAsia="仿宋" w:cs="方正小标宋简体"/>
          <w:bCs/>
          <w:sz w:val="32"/>
          <w:szCs w:val="32"/>
        </w:rPr>
        <w:t>〕</w:t>
      </w:r>
      <w:r>
        <w:rPr>
          <w:rFonts w:hint="eastAsia" w:ascii="仿宋" w:hAnsi="仿宋" w:eastAsia="仿宋" w:cs="方正小标宋简体"/>
          <w:bCs/>
          <w:sz w:val="32"/>
          <w:szCs w:val="32"/>
          <w:lang w:val="en-US" w:eastAsia="zh-CN"/>
        </w:rPr>
        <w:t>3</w:t>
      </w:r>
      <w:r>
        <w:rPr>
          <w:rFonts w:hint="eastAsia" w:ascii="仿宋" w:hAnsi="仿宋" w:eastAsia="仿宋" w:cs="方正小标宋简体"/>
          <w:bCs/>
          <w:sz w:val="32"/>
          <w:szCs w:val="32"/>
        </w:rPr>
        <w:t>号</w:t>
      </w:r>
    </w:p>
    <w:p>
      <w:pPr>
        <w:wordWrap/>
        <w:adjustRightInd/>
        <w:snapToGrid/>
        <w:spacing w:line="560" w:lineRule="exact"/>
        <w:jc w:val="center"/>
        <w:textAlignment w:val="auto"/>
        <w:rPr>
          <w:rFonts w:hint="eastAsia" w:ascii="仿宋" w:hAnsi="仿宋" w:eastAsia="仿宋" w:cs="方正小标宋简体"/>
          <w:bCs/>
          <w:sz w:val="32"/>
          <w:szCs w:val="32"/>
        </w:rPr>
      </w:pPr>
    </w:p>
    <w:p>
      <w:pPr>
        <w:wordWrap/>
        <w:adjustRightInd/>
        <w:snapToGrid/>
        <w:spacing w:line="560" w:lineRule="exact"/>
        <w:jc w:val="both"/>
        <w:textAlignment w:val="auto"/>
        <w:rPr>
          <w:rFonts w:hint="eastAsia" w:ascii="仿宋" w:hAnsi="仿宋" w:eastAsia="仿宋" w:cs="宋体"/>
          <w:b/>
          <w:bCs/>
          <w:kern w:val="0"/>
          <w:sz w:val="36"/>
          <w:szCs w:val="36"/>
        </w:rPr>
      </w:pPr>
    </w:p>
    <w:p>
      <w:pPr>
        <w:widowControl/>
        <w:shd w:val="clear" w:color="auto" w:fill="FFFFFF"/>
        <w:wordWrap/>
        <w:adjustRightInd/>
        <w:snapToGrid/>
        <w:spacing w:before="100" w:beforeAutospacing="1" w:after="100" w:afterAutospacing="1" w:line="56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kern w:val="0"/>
          <w:sz w:val="44"/>
          <w:szCs w:val="44"/>
        </w:rPr>
        <w:t>关于申报2020年海南省</w:t>
      </w:r>
      <w:bookmarkStart w:id="0" w:name="OLE_LINK4"/>
      <w:r>
        <w:rPr>
          <w:rFonts w:hint="eastAsia" w:ascii="方正小标宋简体" w:hAnsi="方正小标宋简体" w:eastAsia="方正小标宋简体" w:cs="方正小标宋简体"/>
          <w:b w:val="0"/>
          <w:bCs w:val="0"/>
          <w:kern w:val="0"/>
          <w:sz w:val="44"/>
          <w:szCs w:val="44"/>
        </w:rPr>
        <w:t>哲学社会科学</w:t>
      </w:r>
      <w:r>
        <w:rPr>
          <w:rFonts w:hint="eastAsia" w:ascii="方正小标宋简体" w:hAnsi="方正小标宋简体" w:eastAsia="方正小标宋简体" w:cs="方正小标宋简体"/>
          <w:b w:val="0"/>
          <w:bCs w:val="0"/>
          <w:color w:val="000000"/>
          <w:kern w:val="0"/>
          <w:sz w:val="44"/>
          <w:szCs w:val="44"/>
        </w:rPr>
        <w:t>规划课题</w:t>
      </w:r>
      <w:bookmarkEnd w:id="0"/>
      <w:r>
        <w:rPr>
          <w:rFonts w:hint="eastAsia" w:ascii="方正小标宋简体" w:hAnsi="方正小标宋简体" w:eastAsia="方正小标宋简体" w:cs="方正小标宋简体"/>
          <w:b w:val="0"/>
          <w:bCs w:val="0"/>
          <w:color w:val="000000"/>
          <w:kern w:val="0"/>
          <w:sz w:val="44"/>
          <w:szCs w:val="44"/>
        </w:rPr>
        <w:t>的通知</w:t>
      </w:r>
    </w:p>
    <w:p>
      <w:pPr>
        <w:widowControl/>
        <w:shd w:val="clear" w:color="auto" w:fill="FFFFFF"/>
        <w:wordWrap/>
        <w:adjustRightInd/>
        <w:snapToGrid/>
        <w:spacing w:before="100" w:beforeAutospacing="1" w:after="100" w:afterAutospacing="1" w:line="560" w:lineRule="exact"/>
        <w:jc w:val="center"/>
        <w:textAlignment w:val="auto"/>
        <w:outlineLvl w:val="2"/>
        <w:rPr>
          <w:rFonts w:ascii="宋体" w:hAnsi="宋体" w:eastAsia="宋体" w:cs="宋体"/>
          <w:b/>
          <w:bCs/>
          <w:color w:val="000000"/>
          <w:kern w:val="0"/>
          <w:sz w:val="36"/>
          <w:szCs w:val="36"/>
        </w:rPr>
      </w:pPr>
    </w:p>
    <w:p>
      <w:pPr>
        <w:widowControl/>
        <w:shd w:val="clear" w:color="auto" w:fill="FFFFFF"/>
        <w:wordWrap/>
        <w:adjustRightInd/>
        <w:snapToGrid/>
        <w:spacing w:line="56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各有关单位：</w:t>
      </w:r>
    </w:p>
    <w:p>
      <w:pPr>
        <w:widowControl/>
        <w:shd w:val="clear" w:color="auto" w:fill="FFFFFF"/>
        <w:wordWrap/>
        <w:adjustRightInd/>
        <w:snapToGrid/>
        <w:spacing w:line="5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2020海南省哲学社会科学规划年度课题和研究基地课题现开始受理申报。根据海南省哲学社会科学领导小组印发的《海南省哲学社会科学2019-2022年发展规划》（琼宣通〔2018〕83号）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海南省社科联印发的《海南省哲学社会科学规划课题管理办法》（琼社</w:t>
      </w:r>
      <w:bookmarkStart w:id="5" w:name="_GoBack"/>
      <w:bookmarkEnd w:id="5"/>
      <w:r>
        <w:rPr>
          <w:rFonts w:hint="eastAsia" w:ascii="仿宋" w:hAnsi="仿宋" w:eastAsia="仿宋" w:cs="仿宋"/>
          <w:color w:val="000000"/>
          <w:kern w:val="0"/>
          <w:sz w:val="32"/>
          <w:szCs w:val="32"/>
        </w:rPr>
        <w:t>科[2014]58号）及其相关实施细则</w:t>
      </w:r>
      <w:r>
        <w:rPr>
          <w:rFonts w:hint="eastAsia" w:ascii="仿宋" w:hAnsi="仿宋" w:eastAsia="仿宋" w:cs="仿宋"/>
          <w:color w:val="000000"/>
          <w:kern w:val="0"/>
          <w:sz w:val="32"/>
          <w:szCs w:val="32"/>
          <w:lang w:eastAsia="zh-CN"/>
        </w:rPr>
        <w:t>、《关于进一步完善海南省哲学社会科学规划课题管理的有关规定》（</w:t>
      </w:r>
      <w:r>
        <w:rPr>
          <w:rFonts w:hint="eastAsia" w:ascii="仿宋" w:hAnsi="仿宋" w:eastAsia="仿宋" w:cs="仿宋"/>
          <w:color w:val="000000"/>
          <w:kern w:val="0"/>
          <w:sz w:val="32"/>
          <w:szCs w:val="32"/>
        </w:rPr>
        <w:t>琼社科[201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8号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等文件规定和要求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就课题申报的有关事项通知如下：</w:t>
      </w:r>
    </w:p>
    <w:p>
      <w:pPr>
        <w:widowControl/>
        <w:shd w:val="clear" w:color="auto" w:fill="FFFFFF"/>
        <w:wordWrap/>
        <w:adjustRightInd/>
        <w:snapToGrid/>
        <w:spacing w:line="560" w:lineRule="exact"/>
        <w:ind w:firstLine="668" w:firstLineChars="209"/>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一、指导思想</w:t>
      </w:r>
    </w:p>
    <w:p>
      <w:pPr>
        <w:widowControl/>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高举中国特色社会主义伟大旗帜，全面贯彻党的十九大和十九届二中、三中、四中全会精神，坚持以马克思列宁主义、毛泽东思想、邓小平理论、“三个代表”重要思想、科学发展观、习近平新时代中国特色社会主义思想为指导，深入</w:t>
      </w:r>
      <w:r>
        <w:rPr>
          <w:rFonts w:hint="eastAsia" w:ascii="仿宋" w:hAnsi="仿宋" w:eastAsia="仿宋" w:cs="仿宋"/>
          <w:color w:val="000000"/>
          <w:kern w:val="0"/>
          <w:sz w:val="32"/>
          <w:szCs w:val="32"/>
          <w:lang w:eastAsia="zh-CN"/>
        </w:rPr>
        <w:t>学习</w:t>
      </w:r>
      <w:r>
        <w:rPr>
          <w:rFonts w:hint="eastAsia" w:ascii="仿宋" w:hAnsi="仿宋" w:eastAsia="仿宋" w:cs="仿宋"/>
          <w:color w:val="000000"/>
          <w:kern w:val="0"/>
          <w:sz w:val="32"/>
          <w:szCs w:val="32"/>
        </w:rPr>
        <w:t>贯彻习近平总书记</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4·13”重要讲话和中央12号文件</w:t>
      </w:r>
      <w:r>
        <w:rPr>
          <w:rFonts w:hint="eastAsia" w:ascii="仿宋" w:hAnsi="仿宋" w:eastAsia="仿宋" w:cs="仿宋"/>
          <w:color w:val="000000"/>
          <w:kern w:val="0"/>
          <w:sz w:val="32"/>
          <w:szCs w:val="32"/>
        </w:rPr>
        <w:t>精神，深入贯彻</w:t>
      </w:r>
      <w:bookmarkStart w:id="1" w:name="OLE_LINK10"/>
      <w:r>
        <w:rPr>
          <w:rFonts w:hint="eastAsia" w:ascii="仿宋" w:hAnsi="仿宋" w:eastAsia="仿宋" w:cs="仿宋"/>
          <w:color w:val="000000"/>
          <w:kern w:val="0"/>
          <w:sz w:val="32"/>
          <w:szCs w:val="32"/>
          <w:lang w:eastAsia="zh-CN"/>
        </w:rPr>
        <w:t>落实</w:t>
      </w:r>
      <w:r>
        <w:rPr>
          <w:rFonts w:hint="eastAsia" w:ascii="仿宋" w:hAnsi="仿宋" w:eastAsia="仿宋" w:cs="仿宋"/>
          <w:color w:val="000000"/>
          <w:kern w:val="0"/>
          <w:sz w:val="32"/>
          <w:szCs w:val="32"/>
        </w:rPr>
        <w:t>省七次党代会和七届</w:t>
      </w:r>
      <w:r>
        <w:rPr>
          <w:rFonts w:hint="eastAsia" w:ascii="仿宋" w:hAnsi="仿宋" w:eastAsia="仿宋" w:cs="仿宋"/>
          <w:color w:val="000000"/>
          <w:kern w:val="0"/>
          <w:sz w:val="32"/>
          <w:szCs w:val="32"/>
          <w:lang w:eastAsia="zh-CN"/>
        </w:rPr>
        <w:t>历次</w:t>
      </w:r>
      <w:r>
        <w:rPr>
          <w:rFonts w:hint="eastAsia" w:ascii="仿宋" w:hAnsi="仿宋" w:eastAsia="仿宋" w:cs="仿宋"/>
          <w:color w:val="000000"/>
          <w:kern w:val="0"/>
          <w:sz w:val="32"/>
          <w:szCs w:val="32"/>
        </w:rPr>
        <w:t>全会精神</w:t>
      </w:r>
      <w:bookmarkEnd w:id="1"/>
      <w:r>
        <w:rPr>
          <w:rFonts w:hint="eastAsia" w:ascii="仿宋" w:hAnsi="仿宋" w:eastAsia="仿宋" w:cs="仿宋"/>
          <w:color w:val="000000"/>
          <w:kern w:val="0"/>
          <w:sz w:val="32"/>
          <w:szCs w:val="32"/>
        </w:rPr>
        <w:t>，紧紧围绕新时代海南改革开放发展的重大理论和现实问题，遵循哲学社会科学研究规律，创新科研发展方式，大力推动理论创新，为海南全面深化改革开放、加快建设中国特色自由贸易港、争创新时代中国特色社会主义生动范例提供理论支撑和智力支持。</w:t>
      </w:r>
    </w:p>
    <w:p>
      <w:pPr>
        <w:widowControl/>
        <w:shd w:val="clear" w:color="auto" w:fill="FFFFFF"/>
        <w:wordWrap/>
        <w:adjustRightInd/>
        <w:snapToGrid/>
        <w:spacing w:line="560" w:lineRule="exact"/>
        <w:ind w:firstLine="672" w:firstLineChars="21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二、选题导向</w:t>
      </w:r>
    </w:p>
    <w:p>
      <w:pPr>
        <w:widowControl/>
        <w:shd w:val="clear" w:color="auto" w:fill="FFFFFF"/>
        <w:wordWrap/>
        <w:adjustRightInd/>
        <w:snapToGrid/>
        <w:spacing w:line="560" w:lineRule="exact"/>
        <w:ind w:firstLine="672" w:firstLineChars="21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省社科课题必须立足我国特别是海南新时代改革开放发展和社会主义现代化建设实践，</w:t>
      </w:r>
      <w:r>
        <w:rPr>
          <w:rFonts w:hint="eastAsia" w:ascii="仿宋" w:hAnsi="仿宋" w:eastAsia="仿宋" w:cs="仿宋"/>
          <w:color w:val="000000"/>
          <w:kern w:val="0"/>
          <w:sz w:val="32"/>
          <w:szCs w:val="32"/>
          <w:lang w:eastAsia="zh-CN"/>
        </w:rPr>
        <w:t>加强党的创新理论研究和阐释；必须</w:t>
      </w:r>
      <w:r>
        <w:rPr>
          <w:rFonts w:hint="eastAsia" w:ascii="仿宋" w:hAnsi="仿宋" w:eastAsia="仿宋" w:cs="仿宋"/>
          <w:color w:val="000000"/>
          <w:kern w:val="0"/>
          <w:sz w:val="32"/>
          <w:szCs w:val="32"/>
        </w:rPr>
        <w:t>紧紧围绕海南省的战略部署和中心工作，</w:t>
      </w:r>
      <w:r>
        <w:rPr>
          <w:rFonts w:hint="eastAsia" w:ascii="仿宋" w:hAnsi="仿宋" w:eastAsia="仿宋" w:cs="仿宋"/>
          <w:color w:val="000000"/>
          <w:kern w:val="0"/>
          <w:sz w:val="32"/>
          <w:szCs w:val="32"/>
          <w:lang w:eastAsia="zh-CN"/>
        </w:rPr>
        <w:t>尤其是</w:t>
      </w:r>
      <w:r>
        <w:rPr>
          <w:rFonts w:hint="eastAsia" w:ascii="仿宋" w:hAnsi="仿宋" w:eastAsia="仿宋" w:cs="仿宋"/>
          <w:color w:val="000000"/>
          <w:kern w:val="0"/>
          <w:sz w:val="32"/>
          <w:szCs w:val="32"/>
        </w:rPr>
        <w:t>海南全面深化改革开放、全面建成小康社会、</w:t>
      </w:r>
      <w:r>
        <w:rPr>
          <w:rFonts w:hint="eastAsia" w:ascii="仿宋" w:hAnsi="仿宋" w:eastAsia="仿宋" w:cs="仿宋"/>
          <w:color w:val="000000"/>
          <w:kern w:val="0"/>
          <w:sz w:val="32"/>
          <w:szCs w:val="32"/>
          <w:lang w:eastAsia="zh-CN"/>
        </w:rPr>
        <w:t>加快推进中国特色</w:t>
      </w:r>
      <w:r>
        <w:rPr>
          <w:rFonts w:hint="eastAsia" w:ascii="仿宋" w:hAnsi="仿宋" w:eastAsia="仿宋" w:cs="仿宋"/>
          <w:color w:val="000000"/>
          <w:kern w:val="0"/>
          <w:sz w:val="32"/>
          <w:szCs w:val="32"/>
        </w:rPr>
        <w:t>自由贸易港</w:t>
      </w:r>
      <w:r>
        <w:rPr>
          <w:rFonts w:hint="eastAsia" w:ascii="仿宋" w:hAnsi="仿宋" w:eastAsia="仿宋" w:cs="仿宋"/>
          <w:color w:val="000000"/>
          <w:kern w:val="0"/>
          <w:sz w:val="32"/>
          <w:szCs w:val="32"/>
          <w:lang w:eastAsia="zh-CN"/>
        </w:rPr>
        <w:t>建设</w:t>
      </w:r>
      <w:r>
        <w:rPr>
          <w:rFonts w:hint="eastAsia" w:ascii="仿宋" w:hAnsi="仿宋" w:eastAsia="仿宋" w:cs="仿宋"/>
          <w:color w:val="000000"/>
          <w:kern w:val="0"/>
          <w:sz w:val="32"/>
          <w:szCs w:val="32"/>
        </w:rPr>
        <w:t>等，具有全局性、战略性、前瞻性的重大理论与实践问题来选题。</w:t>
      </w:r>
      <w:bookmarkStart w:id="2" w:name="OLE_LINK8"/>
      <w:bookmarkStart w:id="3" w:name="OLE_LINK7"/>
    </w:p>
    <w:p>
      <w:pPr>
        <w:widowControl/>
        <w:numPr>
          <w:ilvl w:val="0"/>
          <w:numId w:val="1"/>
        </w:numPr>
        <w:shd w:val="clear" w:color="auto" w:fill="FFFFFF"/>
        <w:wordWrap/>
        <w:adjustRightInd/>
        <w:snapToGrid/>
        <w:spacing w:line="560" w:lineRule="exact"/>
        <w:ind w:firstLine="672" w:firstLineChars="21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加强中国特色社会主义理论体系研究</w:t>
      </w:r>
      <w:bookmarkEnd w:id="2"/>
      <w:bookmarkEnd w:id="3"/>
      <w:r>
        <w:rPr>
          <w:rFonts w:hint="eastAsia" w:ascii="仿宋" w:hAnsi="仿宋" w:eastAsia="仿宋" w:cs="仿宋"/>
          <w:kern w:val="0"/>
          <w:sz w:val="32"/>
          <w:szCs w:val="32"/>
        </w:rPr>
        <w:t>。围绕研究阐释习近平新时代中国特色社会主义思想、学习贯彻落实党的十九大和十九届二中、三中、四中全会精神，深入学习研究中国特色社会主义理论体系。特别是加强对中国特色社会主义理论体系与科学社会主义基本原则、改革开放历史进程、中国特色社会主义伟大道路、中国现实国情内在关系问题的研究，从整体上理解中国特色社会主义理论体系的基本内容和精神实质，充分认识习近平新时代中国特色社会主义理论在这一理论体系中的重要地位和作用，更好地推进用马克思主义中国化最新成果武装全党、教育人民的工作。</w:t>
      </w:r>
    </w:p>
    <w:p>
      <w:pPr>
        <w:widowControl/>
        <w:numPr>
          <w:ilvl w:val="0"/>
          <w:numId w:val="1"/>
        </w:numPr>
        <w:shd w:val="clear" w:color="auto" w:fill="FFFFFF"/>
        <w:wordWrap/>
        <w:adjustRightInd/>
        <w:snapToGrid/>
        <w:spacing w:line="560" w:lineRule="exact"/>
        <w:ind w:firstLine="672" w:firstLineChars="21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深入研究阐释党的十九届四中全会精神。紧紧围绕坚持和完善中国特色社会主义制度、推进国家治理体系和治理能力现代化这一主题，</w:t>
      </w:r>
      <w:r>
        <w:rPr>
          <w:rFonts w:hint="eastAsia" w:ascii="仿宋" w:hAnsi="仿宋" w:eastAsia="仿宋" w:cs="仿宋"/>
          <w:kern w:val="0"/>
          <w:sz w:val="32"/>
          <w:szCs w:val="32"/>
          <w:lang w:eastAsia="zh-CN"/>
        </w:rPr>
        <w:t>结合海南经济社会发展实践，</w:t>
      </w:r>
      <w:r>
        <w:rPr>
          <w:rFonts w:hint="eastAsia" w:ascii="仿宋" w:hAnsi="仿宋" w:eastAsia="仿宋" w:cs="仿宋"/>
          <w:kern w:val="0"/>
          <w:sz w:val="32"/>
          <w:szCs w:val="32"/>
        </w:rPr>
        <w:t>组织力量深入研究阐释十九届四中全会提出的新思想新观点新论断，特别是加强习近平总书记关于国家治理体系和治理能力现代化重要论述的研究阐释，大力推动实践基础上的理论创新，着力推出有理论说服力、有实践指导意义、有决策参考价值的重大成果，为宣传贯彻全会精神，推进我国国家制度建设和治理能力建设</w:t>
      </w:r>
      <w:r>
        <w:rPr>
          <w:rFonts w:hint="eastAsia" w:ascii="仿宋" w:hAnsi="仿宋" w:eastAsia="仿宋" w:cs="仿宋"/>
          <w:kern w:val="0"/>
          <w:sz w:val="32"/>
          <w:szCs w:val="32"/>
          <w:lang w:eastAsia="zh-CN"/>
        </w:rPr>
        <w:t>、推进海南省域治理</w:t>
      </w:r>
      <w:r>
        <w:rPr>
          <w:rFonts w:hint="eastAsia" w:ascii="仿宋" w:hAnsi="仿宋" w:eastAsia="仿宋" w:cs="仿宋"/>
          <w:kern w:val="0"/>
          <w:sz w:val="32"/>
          <w:szCs w:val="32"/>
        </w:rPr>
        <w:t>提供有力的理论支持和学理支撑。</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kern w:val="0"/>
          <w:sz w:val="32"/>
          <w:szCs w:val="32"/>
        </w:rPr>
        <w:t>深入研究</w:t>
      </w:r>
      <w:r>
        <w:rPr>
          <w:rFonts w:hint="eastAsia" w:ascii="仿宋" w:hAnsi="仿宋" w:eastAsia="仿宋" w:cs="仿宋"/>
          <w:kern w:val="0"/>
          <w:sz w:val="32"/>
          <w:szCs w:val="32"/>
          <w:lang w:eastAsia="zh-CN"/>
        </w:rPr>
        <w:t>加快推进中国特色自由贸易港建设及其风险防控等</w:t>
      </w:r>
      <w:r>
        <w:rPr>
          <w:rFonts w:hint="eastAsia" w:ascii="仿宋" w:hAnsi="仿宋" w:eastAsia="仿宋" w:cs="仿宋"/>
          <w:kern w:val="0"/>
          <w:sz w:val="32"/>
          <w:szCs w:val="32"/>
        </w:rPr>
        <w:t>重大理论和实践问题。紧扣海南新时代的战略定位和目标任务，深化海南全面深化改革开放重大问题研究，重点研究</w:t>
      </w:r>
      <w:r>
        <w:rPr>
          <w:rFonts w:hint="eastAsia" w:ascii="仿宋" w:hAnsi="仿宋" w:eastAsia="仿宋" w:cs="仿宋"/>
          <w:kern w:val="0"/>
          <w:sz w:val="32"/>
          <w:szCs w:val="32"/>
          <w:lang w:eastAsia="zh-CN"/>
        </w:rPr>
        <w:t>加快推进</w:t>
      </w:r>
      <w:r>
        <w:rPr>
          <w:rFonts w:hint="eastAsia" w:ascii="仿宋" w:hAnsi="仿宋" w:eastAsia="仿宋" w:cs="仿宋"/>
          <w:kern w:val="0"/>
          <w:sz w:val="32"/>
          <w:szCs w:val="32"/>
        </w:rPr>
        <w:t>自由贸易试验区和中国特色自由贸易港</w:t>
      </w:r>
      <w:r>
        <w:rPr>
          <w:rFonts w:hint="eastAsia" w:ascii="仿宋" w:hAnsi="仿宋" w:eastAsia="仿宋" w:cs="仿宋"/>
          <w:kern w:val="0"/>
          <w:sz w:val="32"/>
          <w:szCs w:val="32"/>
          <w:lang w:eastAsia="zh-CN"/>
        </w:rPr>
        <w:t>建设</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重大理论和实践</w:t>
      </w:r>
      <w:r>
        <w:rPr>
          <w:rFonts w:hint="eastAsia" w:ascii="仿宋" w:hAnsi="仿宋" w:eastAsia="仿宋" w:cs="仿宋"/>
          <w:kern w:val="0"/>
          <w:sz w:val="32"/>
          <w:szCs w:val="32"/>
        </w:rPr>
        <w:t>问题，努力推出一批有战略高度、理论深度的研究成果，为党委政府决策当好智囊高参。着力在建设现代化经济体系、实现高水平对外开放、提升旅游消费水平、服务国家重大战略、加强社会综合治理、打造一流生态环境、完善人才发展制度等方面进行探索。善于从海南全面深化改革开放的实践中挖掘新材料、发现新问题、提出新观念、探索新路径，提出操作性强的行动建议。</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深化重大疫情防控研究。加强对新型肺炎疫情防控的对策研究，对如何防治疫情、应对疫情引起的经济社会问题、各种风险的防控、</w:t>
      </w:r>
      <w:r>
        <w:rPr>
          <w:rFonts w:hint="eastAsia" w:ascii="仿宋" w:hAnsi="仿宋" w:eastAsia="仿宋" w:cs="仿宋"/>
          <w:color w:val="000000"/>
          <w:kern w:val="0"/>
          <w:sz w:val="32"/>
          <w:szCs w:val="32"/>
          <w:lang w:val="en-US" w:eastAsia="zh-CN"/>
        </w:rPr>
        <w:t>加强社会治理等提出对策建议。分析总结国内外重大疫情防控的经验、做法与启示；深入研究疫情防控的体制、机制，应急管理体系建设以及推进国家治理体系和治理能力现代化相关问题，为海南提高应对公共卫生事件能力做出理论贡献。</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kern w:val="0"/>
          <w:sz w:val="32"/>
          <w:szCs w:val="32"/>
        </w:rPr>
        <w:t>加强具有地方特色的历史文化研究。系统梳理海南历史和海南红色文化，强化海南历史文化遗产抢救、整理和南海疆域史地以及社会文化发展问题研究。重点围绕海南解放70周年、</w:t>
      </w:r>
      <w:r>
        <w:rPr>
          <w:rFonts w:hint="eastAsia" w:ascii="仿宋" w:hAnsi="仿宋" w:eastAsia="仿宋" w:cs="仿宋"/>
          <w:kern w:val="0"/>
          <w:sz w:val="32"/>
          <w:szCs w:val="32"/>
          <w:lang w:eastAsia="zh-CN"/>
        </w:rPr>
        <w:t>海南</w:t>
      </w:r>
      <w:r>
        <w:rPr>
          <w:rFonts w:hint="eastAsia" w:ascii="仿宋" w:hAnsi="仿宋" w:eastAsia="仿宋" w:cs="仿宋"/>
          <w:kern w:val="0"/>
          <w:sz w:val="32"/>
          <w:szCs w:val="32"/>
        </w:rPr>
        <w:t>改革开放的历史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琼崖革命史</w:t>
      </w:r>
      <w:r>
        <w:rPr>
          <w:rFonts w:hint="eastAsia" w:ascii="仿宋" w:hAnsi="仿宋" w:eastAsia="仿宋" w:cs="仿宋"/>
          <w:kern w:val="0"/>
          <w:sz w:val="32"/>
          <w:szCs w:val="32"/>
          <w:lang w:eastAsia="zh-CN"/>
        </w:rPr>
        <w:t>等开展</w:t>
      </w:r>
      <w:r>
        <w:rPr>
          <w:rFonts w:hint="eastAsia" w:ascii="仿宋" w:hAnsi="仿宋" w:eastAsia="仿宋" w:cs="仿宋"/>
          <w:kern w:val="0"/>
          <w:sz w:val="32"/>
          <w:szCs w:val="32"/>
        </w:rPr>
        <w:t>研究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深化“黎学”“琼学”“《更路簿》学”“苏学”等研究，打造</w:t>
      </w:r>
      <w:r>
        <w:rPr>
          <w:rFonts w:hint="eastAsia" w:ascii="仿宋" w:hAnsi="仿宋" w:eastAsia="仿宋" w:cs="仿宋"/>
          <w:kern w:val="0"/>
          <w:sz w:val="32"/>
          <w:szCs w:val="32"/>
          <w:lang w:eastAsia="zh-CN"/>
        </w:rPr>
        <w:t>海南</w:t>
      </w:r>
      <w:r>
        <w:rPr>
          <w:rFonts w:hint="eastAsia" w:ascii="仿宋" w:hAnsi="仿宋" w:eastAsia="仿宋" w:cs="仿宋"/>
          <w:kern w:val="0"/>
          <w:sz w:val="32"/>
          <w:szCs w:val="32"/>
        </w:rPr>
        <w:t>特色研究品牌。</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加强对海南哲学社会科学创新体系建设、长远发展具有重要作用的基础理论研究和学科建设研究。面向学科发展前沿，立足海南实践和优势，加强自贸区（自贸港）基础理论研究；加强法学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哲学、</w:t>
      </w:r>
      <w:r>
        <w:rPr>
          <w:rFonts w:hint="eastAsia" w:ascii="仿宋" w:hAnsi="仿宋" w:eastAsia="仿宋" w:cs="仿宋"/>
          <w:color w:val="000000"/>
          <w:kern w:val="0"/>
          <w:sz w:val="32"/>
          <w:szCs w:val="32"/>
          <w:lang w:eastAsia="zh-CN"/>
        </w:rPr>
        <w:t>旅游管理学</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教育学</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经济</w:t>
      </w:r>
      <w:r>
        <w:rPr>
          <w:rFonts w:hint="eastAsia" w:ascii="仿宋" w:hAnsi="仿宋" w:eastAsia="仿宋" w:cs="仿宋"/>
          <w:color w:val="000000"/>
          <w:kern w:val="0"/>
          <w:sz w:val="32"/>
          <w:szCs w:val="32"/>
        </w:rPr>
        <w:t>学、</w:t>
      </w:r>
      <w:r>
        <w:rPr>
          <w:rFonts w:hint="eastAsia" w:ascii="仿宋" w:hAnsi="仿宋" w:eastAsia="仿宋" w:cs="仿宋"/>
          <w:color w:val="000000"/>
          <w:kern w:val="0"/>
          <w:sz w:val="32"/>
          <w:szCs w:val="32"/>
          <w:lang w:eastAsia="zh-CN"/>
        </w:rPr>
        <w:t>中国语言</w:t>
      </w:r>
      <w:r>
        <w:rPr>
          <w:rFonts w:hint="eastAsia" w:ascii="仿宋" w:hAnsi="仿宋" w:eastAsia="仿宋" w:cs="仿宋"/>
          <w:color w:val="000000"/>
          <w:kern w:val="0"/>
          <w:sz w:val="32"/>
          <w:szCs w:val="32"/>
        </w:rPr>
        <w:t>文学、</w:t>
      </w:r>
      <w:r>
        <w:rPr>
          <w:rFonts w:hint="eastAsia" w:ascii="仿宋" w:hAnsi="仿宋" w:eastAsia="仿宋" w:cs="仿宋"/>
          <w:color w:val="000000"/>
          <w:kern w:val="0"/>
          <w:sz w:val="32"/>
          <w:szCs w:val="32"/>
          <w:lang w:eastAsia="zh-CN"/>
        </w:rPr>
        <w:t>汉语言文学、历史</w:t>
      </w:r>
      <w:r>
        <w:rPr>
          <w:rFonts w:hint="eastAsia" w:ascii="仿宋" w:hAnsi="仿宋" w:eastAsia="仿宋" w:cs="仿宋"/>
          <w:color w:val="000000"/>
          <w:kern w:val="0"/>
          <w:sz w:val="32"/>
          <w:szCs w:val="32"/>
        </w:rPr>
        <w:t>学等优长学科理论研究，厚植海南哲学社会科学发展的根基，提升海南哲学社会科学的原创能力和核心竞争力。深化和拓展研究领域，促进哲学社会科学不同学科之间，哲学社会科学与自然科学、工程技术之间的交叉融合，加强交叉学科、边缘学科和冷门学科建设，培育一批具有发展潜力的新兴学科，形成新的学科增长点、增创新的学科优势。</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重视哲学社会科学宣传普及。针对中国特色社会主义理论的宣传普及，社会主义核心价值观的践行，海南全面深化改革开放、全面建成小康社会、建设中国特色自由贸易港的理论宣传普及问题，以及广大干部群众急需的社科理论知识，策划选题开展研究</w:t>
      </w:r>
      <w:r>
        <w:rPr>
          <w:rFonts w:hint="eastAsia" w:ascii="仿宋" w:hAnsi="仿宋" w:eastAsia="仿宋" w:cs="仿宋"/>
          <w:color w:val="000000"/>
          <w:kern w:val="0"/>
          <w:sz w:val="32"/>
          <w:szCs w:val="32"/>
          <w:lang w:eastAsia="zh-CN"/>
        </w:rPr>
        <w:t>阐释</w:t>
      </w:r>
      <w:r>
        <w:rPr>
          <w:rFonts w:hint="eastAsia" w:ascii="仿宋" w:hAnsi="仿宋" w:eastAsia="仿宋" w:cs="仿宋"/>
          <w:color w:val="000000"/>
          <w:kern w:val="0"/>
          <w:sz w:val="32"/>
          <w:szCs w:val="32"/>
        </w:rPr>
        <w:t>，深入推进</w:t>
      </w:r>
      <w:r>
        <w:rPr>
          <w:rFonts w:hint="eastAsia" w:ascii="仿宋" w:hAnsi="仿宋" w:eastAsia="仿宋" w:cs="仿宋"/>
          <w:color w:val="000000"/>
          <w:kern w:val="0"/>
          <w:sz w:val="32"/>
          <w:szCs w:val="32"/>
          <w:lang w:val="en-US" w:eastAsia="zh-CN"/>
        </w:rPr>
        <w:t>哲学</w:t>
      </w:r>
      <w:r>
        <w:rPr>
          <w:rFonts w:hint="eastAsia" w:ascii="仿宋" w:hAnsi="仿宋" w:eastAsia="仿宋" w:cs="仿宋"/>
          <w:color w:val="000000"/>
          <w:kern w:val="0"/>
          <w:sz w:val="32"/>
          <w:szCs w:val="32"/>
        </w:rPr>
        <w:t>社会科学宣传普及工作。</w:t>
      </w:r>
    </w:p>
    <w:p>
      <w:pPr>
        <w:widowControl/>
        <w:shd w:val="clear" w:color="auto" w:fill="FFFFFF"/>
        <w:wordWrap/>
        <w:adjustRightInd/>
        <w:snapToGrid/>
        <w:spacing w:line="560" w:lineRule="exact"/>
        <w:ind w:firstLine="560" w:firstLineChars="175"/>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三、专项指南</w:t>
      </w:r>
    </w:p>
    <w:p>
      <w:pPr>
        <w:widowControl/>
        <w:numPr>
          <w:ilvl w:val="0"/>
          <w:numId w:val="0"/>
        </w:numPr>
        <w:shd w:val="clear" w:color="auto" w:fill="FFFFFF"/>
        <w:wordWrap/>
        <w:adjustRightInd/>
        <w:snapToGrid/>
        <w:spacing w:line="560" w:lineRule="exac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为突出重点、深入研究海南自由贸易港建设及其风险防控问题，特设置“海南自由贸易港研究专项课题”和“海南自贸港风险防控研究专项课题”。所列两个专项研究的课题指南共50项（分别见附件1、附件2），供选题申报。</w:t>
      </w:r>
    </w:p>
    <w:p>
      <w:pPr>
        <w:widowControl/>
        <w:shd w:val="clear" w:color="auto" w:fill="FFFFFF"/>
        <w:wordWrap/>
        <w:adjustRightInd/>
        <w:snapToGrid/>
        <w:spacing w:line="560" w:lineRule="exact"/>
        <w:ind w:firstLine="560" w:firstLineChars="17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四、分类</w:t>
      </w:r>
      <w:r>
        <w:rPr>
          <w:rFonts w:hint="eastAsia" w:ascii="黑体" w:hAnsi="黑体" w:eastAsia="黑体" w:cs="黑体"/>
          <w:b w:val="0"/>
          <w:bCs w:val="0"/>
          <w:color w:val="000000"/>
          <w:kern w:val="0"/>
          <w:sz w:val="32"/>
          <w:szCs w:val="32"/>
        </w:rPr>
        <w:t>设计</w:t>
      </w:r>
    </w:p>
    <w:p>
      <w:pPr>
        <w:widowControl/>
        <w:numPr>
          <w:ilvl w:val="0"/>
          <w:numId w:val="2"/>
        </w:numPr>
        <w:shd w:val="clear" w:color="auto" w:fill="FFFFFF"/>
        <w:wordWrap/>
        <w:adjustRightInd/>
        <w:snapToGrid/>
        <w:spacing w:line="560" w:lineRule="exact"/>
        <w:ind w:firstLine="560" w:firstLineChars="175"/>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课题类别：</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分设重点课题、一般课题、青年课题、自筹经费课题四类。青年课题要求课题负责人及其成员年龄均在35周岁以下（1985年2月1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日后出生）</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自筹经费课题主要面向省内高职高专院校的社科研究者。</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研究基地课题</w:t>
      </w:r>
      <w:r>
        <w:rPr>
          <w:rFonts w:hint="eastAsia" w:ascii="仿宋" w:hAnsi="仿宋" w:eastAsia="仿宋" w:cs="仿宋"/>
          <w:color w:val="000000"/>
          <w:kern w:val="0"/>
          <w:sz w:val="32"/>
          <w:szCs w:val="32"/>
          <w:lang w:eastAsia="zh-CN"/>
        </w:rPr>
        <w:t>由省级社科研究基地的研究人员申报，申报时标注“研究基地课题”并写明课题类别（如研究基地课题·重点课题）。</w:t>
      </w:r>
      <w:r>
        <w:rPr>
          <w:rFonts w:hint="eastAsia" w:ascii="仿宋" w:hAnsi="仿宋" w:eastAsia="仿宋" w:cs="仿宋"/>
          <w:color w:val="000000"/>
          <w:kern w:val="0"/>
          <w:sz w:val="32"/>
          <w:szCs w:val="32"/>
          <w:lang w:val="en-US" w:eastAsia="zh-CN"/>
        </w:rPr>
        <w:t>3.“海南自由贸易港研究专项课题”“海南自贸港风险防控研究专项课题”亦须标注，并写明课题类别。</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sz w:val="32"/>
          <w:szCs w:val="32"/>
        </w:rPr>
        <w:t>资助额度：重点课题每项资助45000元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一般课题每项资助35000元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青年课题每项资助</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0000元。</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最终成果</w:t>
      </w:r>
      <w:r>
        <w:rPr>
          <w:rFonts w:hint="eastAsia" w:ascii="仿宋" w:hAnsi="仿宋" w:eastAsia="仿宋" w:cs="仿宋"/>
          <w:color w:val="000000"/>
          <w:kern w:val="0"/>
          <w:sz w:val="32"/>
          <w:szCs w:val="32"/>
          <w:lang w:eastAsia="zh-CN"/>
        </w:rPr>
        <w:t>要求</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海南自由贸易港研究专项课题”“海南自贸港风险防控研究专项课题”应提交1份2万字左右的总报告和1份3000—5000字的对策建议，6个月内完成；并在《海南日报》或《今日海南》等报刊上发表1篇理论文章（一般不少于5000字），9个月内完成。2.重大疫情防控研究课题应提交3份3000—5000字的对策建议，3个月内完成。3.其他课题的最终成果，</w:t>
      </w:r>
      <w:r>
        <w:rPr>
          <w:rFonts w:hint="eastAsia" w:ascii="仿宋" w:hAnsi="仿宋" w:eastAsia="仿宋" w:cs="仿宋"/>
          <w:color w:val="000000"/>
          <w:kern w:val="0"/>
          <w:sz w:val="32"/>
          <w:szCs w:val="32"/>
        </w:rPr>
        <w:t>根据研究的实际需要确定为系列论文、研究报告或著作。著作完成时限一般为2至3年，</w:t>
      </w:r>
      <w:r>
        <w:rPr>
          <w:rFonts w:hint="eastAsia" w:ascii="仿宋" w:hAnsi="仿宋" w:eastAsia="仿宋" w:cs="仿宋"/>
          <w:color w:val="000000"/>
          <w:kern w:val="0"/>
          <w:sz w:val="32"/>
          <w:szCs w:val="32"/>
          <w:lang w:eastAsia="zh-CN"/>
        </w:rPr>
        <w:t>一般要求</w:t>
      </w:r>
      <w:r>
        <w:rPr>
          <w:rFonts w:hint="eastAsia" w:ascii="仿宋" w:hAnsi="仿宋" w:eastAsia="仿宋" w:cs="仿宋"/>
          <w:color w:val="000000"/>
          <w:kern w:val="0"/>
          <w:sz w:val="32"/>
          <w:szCs w:val="32"/>
          <w:lang w:val="en-US" w:eastAsia="zh-CN"/>
        </w:rPr>
        <w:t>20万字左右（鉴定通过才能出版）。</w:t>
      </w:r>
      <w:r>
        <w:rPr>
          <w:rFonts w:hint="eastAsia" w:ascii="仿宋" w:hAnsi="仿宋" w:eastAsia="仿宋" w:cs="仿宋"/>
          <w:color w:val="000000"/>
          <w:kern w:val="0"/>
          <w:sz w:val="32"/>
          <w:szCs w:val="32"/>
        </w:rPr>
        <w:t>系列论文完成时限一般为3至4年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要求公开发表3篇（含3篇）以上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其中，青年课题、自筹经费课题一般要求有1篇在《求是》《人民日报》《光明日报》《经济日报》</w:t>
      </w:r>
      <w:r>
        <w:rPr>
          <w:rFonts w:hint="eastAsia" w:ascii="仿宋" w:hAnsi="仿宋" w:eastAsia="仿宋" w:cs="仿宋"/>
          <w:color w:val="000000"/>
          <w:kern w:val="0"/>
          <w:sz w:val="32"/>
          <w:szCs w:val="32"/>
          <w:lang w:eastAsia="zh-CN"/>
        </w:rPr>
        <w:t>或</w:t>
      </w:r>
      <w:r>
        <w:rPr>
          <w:rFonts w:hint="eastAsia" w:ascii="仿宋" w:hAnsi="仿宋" w:eastAsia="仿宋" w:cs="仿宋"/>
          <w:color w:val="000000"/>
          <w:kern w:val="0"/>
          <w:sz w:val="32"/>
          <w:szCs w:val="32"/>
        </w:rPr>
        <w:t>核心期刊公开发表，</w:t>
      </w:r>
      <w:r>
        <w:rPr>
          <w:rFonts w:hint="eastAsia" w:ascii="仿宋" w:hAnsi="仿宋" w:eastAsia="仿宋" w:cs="仿宋"/>
          <w:color w:val="000000"/>
          <w:kern w:val="0"/>
          <w:sz w:val="32"/>
          <w:szCs w:val="32"/>
          <w:lang w:eastAsia="zh-CN"/>
        </w:rPr>
        <w:t>重点课题、一般课题</w:t>
      </w:r>
      <w:r>
        <w:rPr>
          <w:rFonts w:hint="eastAsia" w:ascii="仿宋" w:hAnsi="仿宋" w:eastAsia="仿宋" w:cs="仿宋"/>
          <w:color w:val="000000"/>
          <w:kern w:val="0"/>
          <w:sz w:val="32"/>
          <w:szCs w:val="32"/>
        </w:rPr>
        <w:t>一般要求有2篇在《求是》《人民日报》《光明日报》《经济日报》</w:t>
      </w:r>
      <w:r>
        <w:rPr>
          <w:rFonts w:hint="eastAsia" w:ascii="仿宋" w:hAnsi="仿宋" w:eastAsia="仿宋" w:cs="仿宋"/>
          <w:color w:val="000000"/>
          <w:kern w:val="0"/>
          <w:sz w:val="32"/>
          <w:szCs w:val="32"/>
          <w:lang w:eastAsia="zh-CN"/>
        </w:rPr>
        <w:t>或</w:t>
      </w:r>
      <w:r>
        <w:rPr>
          <w:rFonts w:hint="eastAsia" w:ascii="仿宋" w:hAnsi="仿宋" w:eastAsia="仿宋" w:cs="仿宋"/>
          <w:color w:val="000000"/>
          <w:kern w:val="0"/>
          <w:sz w:val="32"/>
          <w:szCs w:val="32"/>
        </w:rPr>
        <w:t>核心期刊公开发表。每篇论文字数一般不少于5000字。研究报告完成时限控制在半年以内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一般要求1份2万字</w:t>
      </w:r>
      <w:r>
        <w:rPr>
          <w:rFonts w:hint="eastAsia" w:ascii="仿宋" w:hAnsi="仿宋" w:eastAsia="仿宋" w:cs="仿宋"/>
          <w:color w:val="000000"/>
          <w:kern w:val="0"/>
          <w:sz w:val="32"/>
          <w:szCs w:val="32"/>
          <w:lang w:val="en-US" w:eastAsia="zh-CN"/>
        </w:rPr>
        <w:t>左右</w:t>
      </w:r>
      <w:r>
        <w:rPr>
          <w:rFonts w:hint="eastAsia" w:ascii="仿宋" w:hAnsi="仿宋" w:eastAsia="仿宋" w:cs="仿宋"/>
          <w:color w:val="000000"/>
          <w:kern w:val="0"/>
          <w:sz w:val="32"/>
          <w:szCs w:val="32"/>
        </w:rPr>
        <w:t>的总报告和</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份3000-5000字的对策建议。</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最终成果形式如为一般性的教科书、工具书、资料书、年鉴等，不得申报规划课题。</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课题成果</w:t>
      </w:r>
      <w:r>
        <w:rPr>
          <w:rFonts w:hint="eastAsia" w:ascii="仿宋" w:hAnsi="仿宋" w:eastAsia="仿宋" w:cs="仿宋"/>
          <w:color w:val="000000"/>
          <w:kern w:val="0"/>
          <w:sz w:val="32"/>
          <w:szCs w:val="32"/>
        </w:rPr>
        <w:t>查重率不得高于15%（含15%）。</w:t>
      </w:r>
    </w:p>
    <w:p>
      <w:pPr>
        <w:widowControl/>
        <w:shd w:val="clear" w:color="auto" w:fill="FFFFFF"/>
        <w:wordWrap/>
        <w:adjustRightInd/>
        <w:snapToGrid/>
        <w:spacing w:line="560" w:lineRule="exact"/>
        <w:ind w:firstLine="633" w:firstLineChars="198"/>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、申报要求</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Calibri" w:hAnsi="Calibri" w:eastAsia="仿宋" w:cs="Calibri"/>
          <w:kern w:val="0"/>
          <w:sz w:val="32"/>
          <w:szCs w:val="32"/>
          <w:lang w:eastAsia="zh-CN"/>
        </w:rPr>
        <w:t>（一）</w:t>
      </w:r>
      <w:r>
        <w:rPr>
          <w:rFonts w:hint="eastAsia" w:ascii="仿宋" w:hAnsi="仿宋" w:eastAsia="仿宋" w:cs="仿宋"/>
          <w:kern w:val="0"/>
          <w:sz w:val="32"/>
          <w:szCs w:val="32"/>
        </w:rPr>
        <w:t>每位课题负责人只能申报1项课题，在研国家社科基金项目、省社科规划课题负责人，以及近五年内被撤项的省社科规划课题负责人不能申报。</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Calibri" w:hAnsi="Calibri" w:eastAsia="仿宋" w:cs="Calibri"/>
          <w:kern w:val="0"/>
          <w:sz w:val="32"/>
          <w:szCs w:val="32"/>
          <w:lang w:eastAsia="zh-CN"/>
        </w:rPr>
        <w:t>二）</w:t>
      </w:r>
      <w:r>
        <w:rPr>
          <w:rFonts w:hint="eastAsia" w:ascii="仿宋" w:hAnsi="仿宋" w:eastAsia="仿宋" w:cs="仿宋"/>
          <w:kern w:val="0"/>
          <w:sz w:val="32"/>
          <w:szCs w:val="32"/>
        </w:rPr>
        <w:t>申报课题须写明课题类别，并按相应课题的资助额度做好经费预算。经费预算及管理按《海南省哲学社会科学规划课题资金管理办法》（琼财教【2017】1664号）执行。</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申请课题须按要求填报《海南省哲学社会科学规划课题申请书》和《海南省哲学社会科学规划课题论证活页》。《论证活页》不得出现课题申请人及其成员的姓名和所在单位等直接或间接透露申报者信息的背景资料，否则不予受理。《申请书》要求用计算机填写、A3纸双面印制、中缝装订；《论证活页》要求A3纸双面</w:t>
      </w:r>
      <w:r>
        <w:rPr>
          <w:rFonts w:hint="eastAsia" w:ascii="仿宋" w:hAnsi="仿宋" w:eastAsia="仿宋" w:cs="仿宋"/>
          <w:kern w:val="0"/>
          <w:sz w:val="32"/>
          <w:szCs w:val="32"/>
          <w:lang w:eastAsia="zh-CN"/>
        </w:rPr>
        <w:t>排版</w:t>
      </w:r>
      <w:r>
        <w:rPr>
          <w:rFonts w:hint="eastAsia" w:ascii="仿宋" w:hAnsi="仿宋" w:eastAsia="仿宋" w:cs="仿宋"/>
          <w:kern w:val="0"/>
          <w:sz w:val="32"/>
          <w:szCs w:val="32"/>
        </w:rPr>
        <w:t>。《海南省哲学社会科学规划课题资金管理办法》（琼财教【2017】1664号）、《申请书》、《论证活页》</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请从海南社会科学网下载使用（</w:t>
      </w:r>
      <w:r>
        <w:rPr>
          <w:sz w:val="32"/>
          <w:szCs w:val="32"/>
        </w:rPr>
        <w:fldChar w:fldCharType="begin"/>
      </w:r>
      <w:r>
        <w:rPr>
          <w:sz w:val="32"/>
          <w:szCs w:val="32"/>
        </w:rPr>
        <w:instrText xml:space="preserve">HYPERLINK "http://www.hnskl.net/" </w:instrText>
      </w:r>
      <w:r>
        <w:rPr>
          <w:sz w:val="32"/>
          <w:szCs w:val="32"/>
        </w:rPr>
        <w:fldChar w:fldCharType="separate"/>
      </w:r>
      <w:r>
        <w:rPr>
          <w:rFonts w:hint="eastAsia" w:ascii="仿宋" w:hAnsi="仿宋" w:eastAsia="仿宋" w:cs="仿宋"/>
          <w:kern w:val="0"/>
          <w:sz w:val="32"/>
          <w:szCs w:val="32"/>
        </w:rPr>
        <w:t>http://www.hnskl.net</w:t>
      </w:r>
      <w:r>
        <w:rPr>
          <w:sz w:val="32"/>
          <w:szCs w:val="32"/>
        </w:rPr>
        <w:fldChar w:fldCharType="end"/>
      </w:r>
      <w:r>
        <w:rPr>
          <w:rFonts w:hint="eastAsia" w:ascii="仿宋" w:hAnsi="仿宋" w:eastAsia="仿宋" w:cs="仿宋"/>
          <w:kern w:val="0"/>
          <w:sz w:val="32"/>
          <w:szCs w:val="32"/>
        </w:rPr>
        <w:t>）。</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hint="eastAsia" w:ascii="Calibri" w:hAnsi="Calibri" w:eastAsia="仿宋" w:cs="Calibri"/>
          <w:kern w:val="0"/>
          <w:sz w:val="32"/>
          <w:szCs w:val="32"/>
          <w:lang w:eastAsia="zh-CN"/>
        </w:rPr>
        <w:t>（四）</w:t>
      </w:r>
      <w:r>
        <w:rPr>
          <w:rFonts w:hint="eastAsia" w:ascii="仿宋" w:hAnsi="仿宋" w:eastAsia="仿宋" w:cs="仿宋"/>
          <w:kern w:val="0"/>
          <w:sz w:val="32"/>
          <w:szCs w:val="32"/>
        </w:rPr>
        <w:t>申请人申请的研究课题已获得其它资助的，或者与博士学位论文、博士后出站报告密切相关的，必须在《课题申请书》和《论证活页》中予以说明。</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Calibri" w:hAnsi="Calibri" w:eastAsia="仿宋" w:cs="Calibri"/>
          <w:kern w:val="0"/>
          <w:sz w:val="32"/>
          <w:szCs w:val="32"/>
          <w:lang w:eastAsia="zh-CN"/>
        </w:rPr>
        <w:t>（五）</w:t>
      </w:r>
      <w:r>
        <w:rPr>
          <w:rFonts w:hint="eastAsia" w:ascii="仿宋" w:hAnsi="仿宋" w:eastAsia="仿宋" w:cs="仿宋"/>
          <w:kern w:val="0"/>
          <w:sz w:val="32"/>
          <w:szCs w:val="32"/>
        </w:rPr>
        <w:t>申报者要如实填写申请材料，并保证没有知识产权争议。凡弄虚作假者，一经发现并查实后，取消个人五年申报资格，如获准立项一律按撤项处理。</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申报时间从2020年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日起至2020年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日止，逾期不候。</w:t>
      </w:r>
      <w:r>
        <w:rPr>
          <w:rFonts w:hint="eastAsia" w:ascii="仿宋" w:hAnsi="仿宋" w:eastAsia="仿宋" w:cs="仿宋"/>
          <w:kern w:val="0"/>
          <w:sz w:val="32"/>
          <w:szCs w:val="32"/>
          <w:lang w:eastAsia="zh-CN"/>
        </w:rPr>
        <w:t>考虑到正值重大疫情防控期间，</w:t>
      </w:r>
      <w:r>
        <w:rPr>
          <w:rFonts w:hint="eastAsia" w:ascii="仿宋" w:hAnsi="仿宋" w:eastAsia="仿宋" w:cs="仿宋"/>
          <w:kern w:val="0"/>
          <w:sz w:val="32"/>
          <w:szCs w:val="32"/>
        </w:rPr>
        <w:t>请各有关单位</w:t>
      </w:r>
      <w:r>
        <w:rPr>
          <w:rFonts w:hint="eastAsia" w:ascii="仿宋" w:hAnsi="仿宋" w:eastAsia="仿宋" w:cs="仿宋"/>
          <w:kern w:val="0"/>
          <w:sz w:val="32"/>
          <w:szCs w:val="32"/>
          <w:lang w:eastAsia="zh-CN"/>
        </w:rPr>
        <w:t>通过适当</w:t>
      </w:r>
      <w:r>
        <w:rPr>
          <w:rFonts w:hint="eastAsia" w:ascii="仿宋" w:hAnsi="仿宋" w:eastAsia="仿宋" w:cs="仿宋"/>
          <w:kern w:val="0"/>
          <w:sz w:val="32"/>
          <w:szCs w:val="32"/>
          <w:lang w:val="en-US" w:eastAsia="zh-CN"/>
        </w:rPr>
        <w:t>方式，</w:t>
      </w:r>
      <w:r>
        <w:rPr>
          <w:rFonts w:hint="eastAsia" w:ascii="仿宋" w:hAnsi="仿宋" w:eastAsia="仿宋" w:cs="仿宋"/>
          <w:kern w:val="0"/>
          <w:sz w:val="32"/>
          <w:szCs w:val="32"/>
        </w:rPr>
        <w:t>做好课题申报的宣传、发动、组织和指导工作，严格把关，努力提高申报质量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课题申报材料</w:t>
      </w:r>
      <w:r>
        <w:rPr>
          <w:rFonts w:hint="eastAsia" w:ascii="仿宋" w:hAnsi="仿宋" w:eastAsia="仿宋" w:cs="仿宋"/>
          <w:kern w:val="0"/>
          <w:sz w:val="32"/>
          <w:szCs w:val="32"/>
          <w:lang w:eastAsia="zh-CN"/>
        </w:rPr>
        <w:t>先提交电子件，电子件</w:t>
      </w:r>
      <w:r>
        <w:rPr>
          <w:rFonts w:hint="eastAsia" w:ascii="仿宋" w:hAnsi="仿宋" w:eastAsia="仿宋" w:cs="仿宋"/>
          <w:kern w:val="0"/>
          <w:sz w:val="32"/>
          <w:szCs w:val="32"/>
        </w:rPr>
        <w:t>经所在单位审查合格后，</w:t>
      </w:r>
      <w:r>
        <w:rPr>
          <w:rFonts w:hint="eastAsia" w:ascii="仿宋" w:hAnsi="仿宋" w:eastAsia="仿宋" w:cs="仿宋"/>
          <w:kern w:val="0"/>
          <w:sz w:val="32"/>
          <w:szCs w:val="32"/>
          <w:lang w:eastAsia="zh-CN"/>
        </w:rPr>
        <w:t>发</w:t>
      </w:r>
      <w:r>
        <w:rPr>
          <w:rFonts w:hint="eastAsia" w:ascii="仿宋" w:hAnsi="仿宋" w:eastAsia="仿宋" w:cs="仿宋"/>
          <w:kern w:val="0"/>
          <w:sz w:val="32"/>
          <w:szCs w:val="32"/>
        </w:rPr>
        <w:t>送我会社科规划办</w:t>
      </w:r>
      <w:r>
        <w:rPr>
          <w:rFonts w:hint="eastAsia" w:ascii="仿宋" w:hAnsi="仿宋" w:eastAsia="仿宋" w:cs="仿宋"/>
          <w:kern w:val="0"/>
          <w:sz w:val="32"/>
          <w:szCs w:val="32"/>
          <w:lang w:eastAsia="zh-CN"/>
        </w:rPr>
        <w:t>；纸质材料（即《</w:t>
      </w:r>
      <w:r>
        <w:rPr>
          <w:rFonts w:hint="eastAsia" w:ascii="仿宋" w:hAnsi="仿宋" w:eastAsia="仿宋" w:cs="仿宋"/>
          <w:kern w:val="0"/>
          <w:sz w:val="32"/>
          <w:szCs w:val="32"/>
        </w:rPr>
        <w:t>海南省哲学社会科学规划课题申请书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1份</w:t>
      </w:r>
      <w:r>
        <w:rPr>
          <w:rFonts w:hint="eastAsia" w:ascii="仿宋" w:hAnsi="仿宋" w:eastAsia="仿宋" w:cs="仿宋"/>
          <w:kern w:val="0"/>
          <w:sz w:val="32"/>
          <w:szCs w:val="32"/>
          <w:lang w:eastAsia="zh-CN"/>
        </w:rPr>
        <w:t>）待疫情防控解除后再补盖章并报送我会社科规划办</w:t>
      </w:r>
      <w:r>
        <w:rPr>
          <w:rFonts w:hint="eastAsia" w:ascii="仿宋" w:hAnsi="仿宋" w:eastAsia="仿宋" w:cs="仿宋"/>
          <w:kern w:val="0"/>
          <w:sz w:val="32"/>
          <w:szCs w:val="32"/>
        </w:rPr>
        <w:t>。</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我会地址：海口市琼山区文坛路2号海南工商职业学院行政楼610室。年度课题联系人：周卫疆，电话：65365081</w:t>
      </w:r>
      <w:r>
        <w:rPr>
          <w:rFonts w:hint="eastAsia" w:ascii="仿宋" w:hAnsi="仿宋" w:eastAsia="仿宋" w:cs="仿宋"/>
          <w:kern w:val="0"/>
          <w:sz w:val="32"/>
          <w:szCs w:val="32"/>
          <w:lang w:eastAsia="zh-CN"/>
        </w:rPr>
        <w:t>，邮箱</w:t>
      </w:r>
      <w:r>
        <w:rPr>
          <w:rFonts w:hint="eastAsia" w:ascii="仿宋" w:hAnsi="仿宋" w:eastAsia="仿宋" w:cs="仿宋"/>
          <w:kern w:val="0"/>
          <w:sz w:val="32"/>
          <w:szCs w:val="32"/>
          <w:lang w:val="en-US" w:eastAsia="zh-CN"/>
        </w:rPr>
        <w:t>13379856516@163.com</w:t>
      </w:r>
      <w:r>
        <w:rPr>
          <w:rFonts w:hint="eastAsia" w:ascii="仿宋" w:hAnsi="仿宋" w:eastAsia="仿宋" w:cs="仿宋"/>
          <w:kern w:val="0"/>
          <w:sz w:val="32"/>
          <w:szCs w:val="32"/>
        </w:rPr>
        <w:t>；基地课题联系人：</w:t>
      </w:r>
      <w:r>
        <w:rPr>
          <w:rFonts w:hint="eastAsia" w:ascii="仿宋" w:hAnsi="仿宋" w:eastAsia="仿宋" w:cs="仿宋"/>
          <w:kern w:val="0"/>
          <w:sz w:val="32"/>
          <w:szCs w:val="32"/>
          <w:lang w:eastAsia="zh-CN"/>
        </w:rPr>
        <w:t>李亚琼</w:t>
      </w:r>
      <w:r>
        <w:rPr>
          <w:rFonts w:hint="eastAsia" w:ascii="仿宋" w:hAnsi="仿宋" w:eastAsia="仿宋" w:cs="仿宋"/>
          <w:kern w:val="0"/>
          <w:sz w:val="32"/>
          <w:szCs w:val="32"/>
        </w:rPr>
        <w:t>，电话653</w:t>
      </w:r>
      <w:r>
        <w:rPr>
          <w:rFonts w:hint="eastAsia" w:ascii="仿宋" w:hAnsi="仿宋" w:eastAsia="仿宋" w:cs="仿宋"/>
          <w:kern w:val="0"/>
          <w:sz w:val="32"/>
          <w:szCs w:val="32"/>
          <w:lang w:val="en-US" w:eastAsia="zh-CN"/>
        </w:rPr>
        <w:t>36659,邮箱</w:t>
      </w:r>
      <w:r>
        <w:rPr>
          <w:rFonts w:hint="eastAsia" w:ascii="仿宋" w:hAnsi="仿宋" w:eastAsia="仿宋" w:cs="仿宋"/>
          <w:kern w:val="0"/>
          <w:sz w:val="32"/>
          <w:szCs w:val="32"/>
        </w:rPr>
        <w:t>lyqch6420@163.com 。</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仿宋" w:hAnsi="仿宋" w:eastAsia="仿宋" w:cs="仿宋"/>
          <w:kern w:val="0"/>
          <w:sz w:val="32"/>
          <w:szCs w:val="32"/>
        </w:rPr>
        <w:t>专此通知</w:t>
      </w:r>
      <w:r>
        <w:rPr>
          <w:rFonts w:ascii="Calibri" w:hAnsi="Calibri" w:eastAsia="仿宋" w:cs="Calibri"/>
          <w:kern w:val="0"/>
          <w:sz w:val="32"/>
          <w:szCs w:val="32"/>
        </w:rPr>
        <w:t> </w:t>
      </w:r>
    </w:p>
    <w:p>
      <w:pPr>
        <w:wordWrap/>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kern w:val="0"/>
          <w:sz w:val="32"/>
          <w:szCs w:val="32"/>
        </w:rPr>
        <w:t>附</w:t>
      </w:r>
      <w:r>
        <w:rPr>
          <w:rFonts w:hint="eastAsia" w:ascii="仿宋" w:hAnsi="仿宋" w:eastAsia="仿宋" w:cs="仿宋"/>
          <w:kern w:val="0"/>
          <w:sz w:val="32"/>
          <w:szCs w:val="32"/>
          <w:lang w:eastAsia="zh-CN"/>
        </w:rPr>
        <w:t>件：</w:t>
      </w:r>
      <w:r>
        <w:rPr>
          <w:rFonts w:hint="eastAsia" w:ascii="仿宋" w:hAnsi="仿宋" w:eastAsia="仿宋" w:cs="仿宋"/>
          <w:kern w:val="0"/>
          <w:sz w:val="32"/>
          <w:szCs w:val="32"/>
          <w:lang w:val="en-US" w:eastAsia="zh-CN"/>
        </w:rPr>
        <w:t>1.</w:t>
      </w:r>
      <w:r>
        <w:rPr>
          <w:rFonts w:hint="eastAsia" w:ascii="仿宋" w:hAnsi="仿宋" w:eastAsia="仿宋" w:cs="仿宋"/>
          <w:color w:val="000000"/>
          <w:kern w:val="0"/>
          <w:sz w:val="32"/>
          <w:szCs w:val="32"/>
          <w:lang w:val="en-US" w:eastAsia="zh-CN"/>
        </w:rPr>
        <w:t>海南自由贸易港研究专项课题指南</w:t>
      </w:r>
    </w:p>
    <w:p>
      <w:pPr>
        <w:widowControl/>
        <w:numPr>
          <w:ilvl w:val="0"/>
          <w:numId w:val="0"/>
        </w:numPr>
        <w:shd w:val="clear" w:color="auto" w:fill="FFFFFF"/>
        <w:wordWrap/>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kern w:val="0"/>
          <w:sz w:val="32"/>
          <w:szCs w:val="32"/>
          <w:lang w:val="en-US" w:eastAsia="zh-CN"/>
        </w:rPr>
        <w:t xml:space="preserve">      2.海南自贸港</w:t>
      </w:r>
      <w:r>
        <w:rPr>
          <w:rFonts w:hint="eastAsia" w:ascii="仿宋" w:hAnsi="仿宋" w:eastAsia="仿宋" w:cs="仿宋"/>
          <w:color w:val="000000"/>
          <w:kern w:val="0"/>
          <w:sz w:val="32"/>
          <w:szCs w:val="32"/>
          <w:lang w:val="en-US" w:eastAsia="zh-CN"/>
        </w:rPr>
        <w:t>风险防控研究专项课题指南</w:t>
      </w:r>
    </w:p>
    <w:p>
      <w:pPr>
        <w:widowControl/>
        <w:numPr>
          <w:ilvl w:val="0"/>
          <w:numId w:val="0"/>
        </w:numPr>
        <w:shd w:val="clear" w:color="auto" w:fill="FFFFFF"/>
        <w:wordWrap/>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p>
    <w:p>
      <w:pPr>
        <w:widowControl/>
        <w:shd w:val="clear" w:color="auto" w:fill="FFFFFF"/>
        <w:wordWrap/>
        <w:adjustRightInd/>
        <w:snapToGrid/>
        <w:spacing w:line="560" w:lineRule="exact"/>
        <w:jc w:val="both"/>
        <w:textAlignment w:val="auto"/>
        <w:rPr>
          <w:rFonts w:ascii="仿宋" w:hAnsi="仿宋" w:eastAsia="仿宋" w:cs="仿宋"/>
          <w:color w:val="000000"/>
          <w:kern w:val="0"/>
          <w:sz w:val="32"/>
          <w:szCs w:val="32"/>
        </w:rPr>
      </w:pPr>
    </w:p>
    <w:p>
      <w:pPr>
        <w:widowControl/>
        <w:shd w:val="clear" w:color="auto" w:fill="FFFFFF"/>
        <w:wordWrap/>
        <w:adjustRightInd/>
        <w:snapToGrid/>
        <w:spacing w:line="560" w:lineRule="exact"/>
        <w:ind w:firstLine="480"/>
        <w:jc w:val="right"/>
        <w:textAlignment w:val="auto"/>
        <w:rPr>
          <w:rFonts w:ascii="仿宋" w:hAnsi="仿宋" w:eastAsia="仿宋" w:cs="仿宋"/>
          <w:color w:val="000000"/>
          <w:kern w:val="0"/>
          <w:sz w:val="32"/>
          <w:szCs w:val="32"/>
        </w:rPr>
      </w:pPr>
    </w:p>
    <w:p>
      <w:pPr>
        <w:widowControl/>
        <w:shd w:val="clear" w:color="auto" w:fill="FFFFFF"/>
        <w:wordWrap/>
        <w:adjustRightInd/>
        <w:snapToGrid/>
        <w:spacing w:line="560" w:lineRule="exact"/>
        <w:ind w:firstLine="48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海南省社会科学界联合会</w:t>
      </w: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2020年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w:t>
      </w: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2"/>
          <w:szCs w:val="32"/>
        </w:rPr>
      </w:pP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0"/>
          <w:szCs w:val="30"/>
        </w:rPr>
      </w:pP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0"/>
          <w:szCs w:val="30"/>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r>
        <w:rPr>
          <w:rFonts w:hint="eastAsia" w:ascii="仿宋" w:hAnsi="仿宋" w:eastAsia="仿宋" w:cs="宋体"/>
          <w:sz w:val="30"/>
          <w:szCs w:val="32"/>
          <w:u w:val="thick" w:color="auto"/>
          <w:lang w:val="en-US" w:eastAsia="zh-CN"/>
        </w:rPr>
        <w:t xml:space="preserve">                                                                                                                    </w:t>
      </w:r>
    </w:p>
    <w:p>
      <w:pPr>
        <w:widowControl w:val="0"/>
        <w:wordWrap/>
        <w:adjustRightInd/>
        <w:snapToGrid/>
        <w:spacing w:before="0" w:after="0" w:line="560" w:lineRule="exact"/>
        <w:ind w:right="0"/>
        <w:jc w:val="both"/>
        <w:textAlignment w:val="auto"/>
        <w:outlineLvl w:val="9"/>
        <w:rPr>
          <w:rFonts w:hint="eastAsia" w:ascii="黑体" w:hAnsi="黑体" w:eastAsia="黑体"/>
          <w:sz w:val="32"/>
        </w:rPr>
      </w:pPr>
      <w:r>
        <w:rPr>
          <w:rFonts w:hint="eastAsia" w:ascii="仿宋" w:hAnsi="仿宋" w:eastAsia="仿宋" w:cs="宋体"/>
          <w:sz w:val="30"/>
          <w:szCs w:val="32"/>
          <w:u w:val="single" w:color="auto"/>
          <w:lang w:val="en-US" w:eastAsia="zh-CN"/>
        </w:rPr>
        <w:t>海南省社会科学界联合会办公室        2020年2月12日印发</w:t>
      </w:r>
    </w:p>
    <w:p>
      <w:pPr>
        <w:wordWrap/>
        <w:adjustRightInd/>
        <w:snapToGrid/>
        <w:spacing w:line="560" w:lineRule="exact"/>
        <w:textAlignment w:val="auto"/>
        <w:rPr>
          <w:rFonts w:hint="eastAsia" w:ascii="黑体" w:hAnsi="黑体" w:eastAsia="黑体"/>
          <w:sz w:val="32"/>
          <w:lang w:val="en-US" w:eastAsia="zh-CN"/>
        </w:rPr>
      </w:pPr>
      <w:r>
        <w:rPr>
          <w:rFonts w:hint="eastAsia" w:ascii="黑体" w:hAnsi="黑体" w:eastAsia="黑体"/>
          <w:sz w:val="32"/>
        </w:rPr>
        <w:t>附件</w:t>
      </w:r>
      <w:r>
        <w:rPr>
          <w:rFonts w:hint="eastAsia" w:ascii="黑体" w:hAnsi="黑体" w:eastAsia="黑体"/>
          <w:sz w:val="32"/>
          <w:lang w:val="en-US" w:eastAsia="zh-CN"/>
        </w:rPr>
        <w:t>1</w:t>
      </w:r>
      <w:bookmarkStart w:id="4" w:name="_Hlk29112557"/>
      <w:r>
        <w:rPr>
          <w:rFonts w:hint="eastAsia" w:ascii="黑体" w:hAnsi="黑体" w:eastAsia="黑体"/>
          <w:sz w:val="32"/>
          <w:lang w:val="en-US" w:eastAsia="zh-CN"/>
        </w:rPr>
        <w:t>：海南自由贸易港研究专项课题指南</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中国特色自贸港之“特”研究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中国特色自贸港监管创新模式和管理体制</w:t>
      </w:r>
      <w:r>
        <w:rPr>
          <w:rFonts w:hint="eastAsia" w:ascii="仿宋" w:hAnsi="仿宋" w:eastAsia="仿宋" w:cs="仿宋"/>
          <w:sz w:val="30"/>
          <w:szCs w:val="30"/>
          <w:lang w:eastAsia="zh-CN"/>
        </w:rPr>
        <w:t>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中国特色自贸港金融创新体系</w:t>
      </w:r>
      <w:r>
        <w:rPr>
          <w:rFonts w:hint="eastAsia" w:ascii="仿宋" w:hAnsi="仿宋" w:eastAsia="仿宋" w:cs="仿宋"/>
          <w:sz w:val="30"/>
          <w:szCs w:val="30"/>
          <w:lang w:eastAsia="zh-CN"/>
        </w:rPr>
        <w:t>与</w:t>
      </w:r>
      <w:r>
        <w:rPr>
          <w:rFonts w:hint="eastAsia" w:ascii="仿宋" w:hAnsi="仿宋" w:eastAsia="仿宋" w:cs="仿宋"/>
          <w:sz w:val="30"/>
          <w:szCs w:val="30"/>
        </w:rPr>
        <w:t>监管模式</w:t>
      </w:r>
      <w:r>
        <w:rPr>
          <w:rFonts w:hint="eastAsia" w:ascii="仿宋" w:hAnsi="仿宋" w:eastAsia="仿宋" w:cs="仿宋"/>
          <w:sz w:val="30"/>
          <w:szCs w:val="30"/>
          <w:lang w:eastAsia="zh-CN"/>
        </w:rPr>
        <w:t>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中国特色</w:t>
      </w:r>
      <w:r>
        <w:rPr>
          <w:rFonts w:hint="eastAsia" w:ascii="仿宋" w:hAnsi="仿宋" w:eastAsia="仿宋" w:cs="仿宋"/>
          <w:sz w:val="30"/>
          <w:szCs w:val="30"/>
        </w:rPr>
        <w:t>自贸港政策体系研究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eastAsia="zh-CN"/>
        </w:rPr>
        <w:t>海南自贸港建设世界一流营商环境研究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打造国际旅游消费中心的思路和措施研究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建设好园区推动海南自贸港政策落地研究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w w:val="90"/>
          <w:sz w:val="30"/>
          <w:szCs w:val="30"/>
          <w:highlight w:val="none"/>
          <w:lang w:val="en-US" w:eastAsia="zh-CN"/>
        </w:rPr>
      </w:pPr>
      <w:r>
        <w:rPr>
          <w:rFonts w:hint="eastAsia" w:ascii="仿宋_GB2312" w:hAnsi="仿宋_GB2312" w:eastAsia="仿宋_GB2312"/>
          <w:b w:val="0"/>
          <w:bCs w:val="0"/>
          <w:color w:val="auto"/>
          <w:w w:val="90"/>
          <w:sz w:val="30"/>
          <w:szCs w:val="30"/>
          <w:highlight w:val="none"/>
          <w:lang w:val="en-US" w:eastAsia="zh-CN"/>
        </w:rPr>
        <w:t>海南自贸港建设形势下加强和创新基层党建的思路举措研究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构建与海南自贸港相适应的行政管理体制研究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海南自贸港背景下农村土地制度改革研究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热带雨林国家公园建设中的特许经营制度研究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热带雨林国家公园保护与开发统筹路径研究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海南自贸港货物贸易自由问题研究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海南自贸港服务贸易自由问题研究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海南自贸港投资自由问题研究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海南自贸港跨境资金流动自由问题研究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海南自贸港人员流动自由问题研究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海南自贸港运输自由问题研究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海南自贸港数据跨境流动自由问题研究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海南自贸港财税制度问题研究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海南自贸港出入境无感式管理与反走私研究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“三农”参与海南自贸港建设研究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海南自贸港框架下政府与市场关系的创新和突破研究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加快建立与海南自贸港相适应的机关事业单位工资分配政策制度研究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对标自贸港最高水平，创新公共服务供给和社会治理体系研究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打造海南生态文明建设标志性工程与构建绿色标志体系研究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海南自贸港基础设施提质升级投融资体制机制创新研究</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海南自贸港“陆海空”三大高新技术产业中行业细分研究</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海南自贸港本地居民住房保障路径研究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吸引外商投资全面参与</w:t>
      </w:r>
      <w:r>
        <w:rPr>
          <w:rFonts w:hint="eastAsia" w:ascii="仿宋" w:hAnsi="仿宋" w:eastAsia="仿宋" w:cs="仿宋"/>
          <w:sz w:val="30"/>
          <w:szCs w:val="30"/>
          <w:lang w:eastAsia="zh-CN"/>
        </w:rPr>
        <w:t>海南</w:t>
      </w:r>
      <w:r>
        <w:rPr>
          <w:rFonts w:hint="eastAsia" w:ascii="仿宋" w:hAnsi="仿宋" w:eastAsia="仿宋" w:cs="仿宋"/>
          <w:sz w:val="30"/>
          <w:szCs w:val="30"/>
        </w:rPr>
        <w:t>自贸港建设研究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推进新一代信息技术产业发展，推动互联网、物联网、大数据、卫星导航、人工智能和实体经济深度融合研究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海南</w:t>
      </w:r>
      <w:r>
        <w:rPr>
          <w:rFonts w:hint="eastAsia" w:ascii="仿宋" w:hAnsi="仿宋" w:eastAsia="仿宋" w:cs="仿宋"/>
          <w:sz w:val="30"/>
          <w:szCs w:val="30"/>
        </w:rPr>
        <w:t>自贸港</w:t>
      </w:r>
      <w:r>
        <w:rPr>
          <w:rFonts w:hint="eastAsia" w:ascii="仿宋" w:hAnsi="仿宋" w:eastAsia="仿宋" w:cs="仿宋"/>
          <w:sz w:val="30"/>
          <w:szCs w:val="30"/>
          <w:lang w:eastAsia="zh-CN"/>
        </w:rPr>
        <w:t>法治建设创新性研究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加快发展海南现代服务业，培育新动能研究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打造我国面向太平洋和印度洋的重要对外开放门户的路径研究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eastAsia="zh-CN"/>
        </w:rPr>
        <w:t>海南开展国际人才管理改革研究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val="en-US" w:eastAsia="zh-CN"/>
        </w:rPr>
        <w:t>海南</w:t>
      </w:r>
      <w:r>
        <w:rPr>
          <w:rFonts w:hint="eastAsia" w:ascii="仿宋" w:hAnsi="仿宋" w:eastAsia="仿宋" w:cs="仿宋"/>
          <w:sz w:val="30"/>
          <w:szCs w:val="30"/>
          <w:lang w:eastAsia="zh-CN"/>
        </w:rPr>
        <w:t>“十四五”期间新发展理念引领经济高质量发展研究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深化医疗领域、教育领域、体育领域、文化领域、金融领域和高新技术产业对外开放研究</w:t>
      </w:r>
    </w:p>
    <w:p>
      <w:pPr>
        <w:numPr>
          <w:ilvl w:val="0"/>
          <w:numId w:val="0"/>
        </w:numPr>
        <w:wordWrap/>
        <w:adjustRightInd/>
        <w:snapToGrid/>
        <w:spacing w:line="560" w:lineRule="exact"/>
        <w:textAlignment w:val="auto"/>
        <w:rPr>
          <w:rFonts w:hint="eastAsia" w:ascii="仿宋_GB2312" w:hAnsi="仿宋_GB2312" w:eastAsia="仿宋_GB2312"/>
          <w:b w:val="0"/>
          <w:bCs w:val="0"/>
          <w:color w:val="auto"/>
          <w:sz w:val="30"/>
          <w:szCs w:val="30"/>
          <w:highlight w:val="none"/>
          <w:lang w:val="en-US" w:eastAsia="zh-CN"/>
        </w:rPr>
      </w:pPr>
    </w:p>
    <w:p>
      <w:pPr>
        <w:widowControl w:val="0"/>
        <w:numPr>
          <w:ilvl w:val="0"/>
          <w:numId w:val="0"/>
        </w:numPr>
        <w:wordWrap/>
        <w:adjustRightInd/>
        <w:snapToGrid/>
        <w:spacing w:line="560" w:lineRule="exact"/>
        <w:ind w:leftChars="100"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numPr>
          <w:ilvl w:val="0"/>
          <w:numId w:val="0"/>
        </w:numPr>
        <w:wordWrap/>
        <w:adjustRightInd/>
        <w:snapToGrid/>
        <w:spacing w:line="560" w:lineRule="exact"/>
        <w:textAlignment w:val="auto"/>
        <w:rPr>
          <w:rFonts w:hint="eastAsia" w:ascii="黑体" w:hAnsi="黑体" w:eastAsia="黑体" w:cs="黑体"/>
          <w:sz w:val="30"/>
          <w:szCs w:val="30"/>
          <w:lang w:val="en-US" w:eastAsia="zh-CN"/>
        </w:rPr>
      </w:pPr>
    </w:p>
    <w:p>
      <w:pPr>
        <w:numPr>
          <w:ilvl w:val="0"/>
          <w:numId w:val="0"/>
        </w:numPr>
        <w:wordWrap/>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附件2：海南自贸港风险防控研究专项课题指南</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海南自贸港国家安全风险防控研究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海南自贸港意识形态风险防控研究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海南自贸港走私风险防控研究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海南自贸港税收风险防控研究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海南自贸港金融风险防控研究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海南自贸港数据流动风险防控研究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海南自贸港人员跨境便捷流动风险防控研究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海南自贸港投资风险防控研究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海南自贸港服务贸易风险防控研究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海南自贸港房地产风险防控研究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海南自贸港生态环境安全风险防控研究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海南自贸港民生保障风险防控研究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海南自贸港廉政风险防控研究</w:t>
      </w:r>
    </w:p>
    <w:p>
      <w:pPr>
        <w:widowControl w:val="0"/>
        <w:numPr>
          <w:ilvl w:val="0"/>
          <w:numId w:val="0"/>
        </w:numPr>
        <w:wordWrap/>
        <w:adjustRightInd/>
        <w:snapToGrid/>
        <w:spacing w:line="560" w:lineRule="exact"/>
        <w:ind w:leftChars="100"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numPr>
          <w:ilvl w:val="0"/>
          <w:numId w:val="0"/>
        </w:numPr>
        <w:wordWrap/>
        <w:adjustRightInd/>
        <w:snapToGrid/>
        <w:spacing w:line="560" w:lineRule="exact"/>
        <w:textAlignment w:val="auto"/>
        <w:rPr>
          <w:rFonts w:ascii="仿宋" w:hAnsi="仿宋" w:eastAsia="仿宋" w:cs="仿宋"/>
          <w:color w:val="000000"/>
          <w:kern w:val="0"/>
          <w:sz w:val="30"/>
          <w:szCs w:val="30"/>
        </w:rPr>
      </w:pPr>
      <w:r>
        <w:rPr>
          <w:rFonts w:hint="eastAsia" w:ascii="仿宋_GB2312" w:hAnsi="仿宋_GB2312" w:eastAsia="仿宋_GB2312"/>
          <w:b w:val="0"/>
          <w:bCs w:val="0"/>
          <w:color w:val="auto"/>
          <w:sz w:val="30"/>
          <w:szCs w:val="30"/>
          <w:highlight w:val="none"/>
          <w:lang w:val="en-US" w:eastAsia="zh-CN"/>
        </w:rPr>
        <w:t xml:space="preserve">  </w:t>
      </w:r>
      <w:bookmarkEnd w:id="4"/>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hAnsi="等线" w:eastAsia="等线" w:cs="Times New Roman"/>
        <w:kern w:val="2"/>
        <w:sz w:val="18"/>
        <w:szCs w:val="18"/>
        <w:lang w:val="en-US" w:eastAsia="zh-CN" w:bidi="ar-SA"/>
      </w:rPr>
      <w:pict>
        <v:shape id="Quad Arrow 1025"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0B7DE"/>
    <w:multiLevelType w:val="singleLevel"/>
    <w:tmpl w:val="5E40B7DE"/>
    <w:lvl w:ilvl="0" w:tentative="0">
      <w:start w:val="1"/>
      <w:numFmt w:val="chineseCounting"/>
      <w:suff w:val="nothing"/>
      <w:lvlText w:val="（%1）"/>
      <w:lvlJc w:val="left"/>
    </w:lvl>
  </w:abstractNum>
  <w:abstractNum w:abstractNumId="1">
    <w:nsid w:val="5E4272CB"/>
    <w:multiLevelType w:val="singleLevel"/>
    <w:tmpl w:val="5E4272CB"/>
    <w:lvl w:ilvl="0" w:tentative="0">
      <w:start w:val="1"/>
      <w:numFmt w:val="chineseCounting"/>
      <w:suff w:val="nothing"/>
      <w:lvlText w:val="（%1）"/>
      <w:lvlJc w:val="left"/>
    </w:lvl>
  </w:abstractNum>
  <w:abstractNum w:abstractNumId="2">
    <w:nsid w:val="5E43555F"/>
    <w:multiLevelType w:val="singleLevel"/>
    <w:tmpl w:val="5E43555F"/>
    <w:lvl w:ilvl="0" w:tentative="0">
      <w:start w:val="1"/>
      <w:numFmt w:val="decimal"/>
      <w:suff w:val="nothing"/>
      <w:lvlText w:val="%1."/>
      <w:lvlJc w:val="left"/>
    </w:lvl>
  </w:abstractNum>
  <w:abstractNum w:abstractNumId="3">
    <w:nsid w:val="5E435826"/>
    <w:multiLevelType w:val="singleLevel"/>
    <w:tmpl w:val="5E43582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8946F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link w:val="10"/>
    <w:semiHidden/>
    <w:unhideWhenUsed/>
    <w:qFormat/>
    <w:uiPriority w:val="1"/>
    <w:rPr>
      <w:rFonts w:hint="eastAsia"/>
    </w:rPr>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0"/>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_Style 4"/>
    <w:basedOn w:val="1"/>
    <w:link w:val="9"/>
    <w:unhideWhenUsed/>
    <w:uiPriority w:val="99"/>
    <w:pPr>
      <w:widowControl/>
      <w:spacing w:after="160" w:line="240" w:lineRule="exact"/>
      <w:jc w:val="left"/>
    </w:pPr>
    <w:rPr>
      <w:rFonts w:hint="eastAsia"/>
    </w:rPr>
  </w:style>
  <w:style w:type="character" w:styleId="11">
    <w:name w:val="Strong"/>
    <w:qFormat/>
    <w:uiPriority w:val="22"/>
    <w:rPr>
      <w:b/>
      <w:bCs/>
    </w:rPr>
  </w:style>
  <w:style w:type="character" w:styleId="12">
    <w:name w:val="page number"/>
    <w:basedOn w:val="9"/>
    <w:semiHidden/>
    <w:unhideWhenUsed/>
    <w:uiPriority w:val="0"/>
  </w:style>
  <w:style w:type="character" w:styleId="13">
    <w:name w:val="Hyperlink"/>
    <w:semiHidden/>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表段落1"/>
    <w:basedOn w:val="1"/>
    <w:qFormat/>
    <w:uiPriority w:val="34"/>
    <w:pPr>
      <w:ind w:firstLine="420" w:firstLineChars="200"/>
    </w:pPr>
  </w:style>
  <w:style w:type="paragraph" w:customStyle="1" w:styleId="16">
    <w:name w:val="List Paragraph"/>
    <w:basedOn w:val="1"/>
    <w:qFormat/>
    <w:uiPriority w:val="34"/>
    <w:pPr>
      <w:ind w:firstLine="420" w:firstLineChars="200"/>
    </w:pPr>
  </w:style>
  <w:style w:type="character" w:customStyle="1" w:styleId="17">
    <w:name w:val="标题 3 字符"/>
    <w:link w:val="3"/>
    <w:uiPriority w:val="9"/>
    <w:rPr>
      <w:rFonts w:ascii="宋体" w:hAnsi="宋体" w:eastAsia="宋体" w:cs="宋体"/>
      <w:b/>
      <w:bCs/>
      <w:kern w:val="0"/>
      <w:sz w:val="27"/>
      <w:szCs w:val="27"/>
    </w:rPr>
  </w:style>
  <w:style w:type="character" w:customStyle="1" w:styleId="18">
    <w:name w:val="标题 1 字符"/>
    <w:link w:val="2"/>
    <w:uiPriority w:val="9"/>
    <w:rPr>
      <w:b/>
      <w:bCs/>
      <w:kern w:val="44"/>
      <w:sz w:val="44"/>
      <w:szCs w:val="44"/>
    </w:rPr>
  </w:style>
  <w:style w:type="character" w:customStyle="1" w:styleId="19">
    <w:name w:val="页眉 字符"/>
    <w:link w:val="6"/>
    <w:uiPriority w:val="99"/>
    <w:rPr>
      <w:sz w:val="18"/>
      <w:szCs w:val="18"/>
    </w:rPr>
  </w:style>
  <w:style w:type="character" w:customStyle="1" w:styleId="20">
    <w:name w:val="页脚 字符"/>
    <w:link w:val="5"/>
    <w:uiPriority w:val="99"/>
    <w:rPr>
      <w:sz w:val="18"/>
      <w:szCs w:val="18"/>
    </w:rPr>
  </w:style>
  <w:style w:type="character" w:customStyle="1" w:styleId="21">
    <w:name w:val="批注框文本 字符"/>
    <w:link w:val="4"/>
    <w:semiHidden/>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1183</Words>
  <Characters>6747</Characters>
  <Lines>56</Lines>
  <Paragraphs>15</Paragraphs>
  <TotalTime>35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2019-12-15T15:27:00Z</dcterms:created>
  <dc:creator>陈 施尧</dc:creator>
  <cp:lastModifiedBy>田</cp:lastModifiedBy>
  <cp:lastPrinted>2020-02-12T03:12:00Z</cp:lastPrinted>
  <dcterms:modified xsi:type="dcterms:W3CDTF">2020-02-13T07:42:49Z</dcterms:modified>
  <dc:title>关于申报2020年海南省哲学社会科学规划课题的通知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